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77</w:t>
      </w:r>
    </w:p>
    <w:p>
      <w:r>
        <w:t>Bundesgericht (BGE), 1975-05-27, DE</w:t>
      </w:r>
    </w:p>
    <w:p>
      <w:r>
        <w:rPr>
          <w:b/>
        </w:rPr>
        <w:t xml:space="preserve">Quelle: </w:t>
      </w:r>
      <w:r>
        <w:t>https://mcp.opencaselaw.ch/entscheid/bge_101 V 77</w:t>
      </w:r>
    </w:p>
    <w:p>
      <w:r>
        <w:t>FR: ATF 101 V 77</w:t>
      </w:r>
    </w:p>
    <w:p>
      <w:r>
        <w:t>IT: DTF 101 V 77</w:t>
      </w:r>
    </w:p>
    <w:p>
      <w:pPr>
        <w:pStyle w:val="Heading2"/>
      </w:pPr>
      <w:r>
        <w:t>Regeste</w:t>
      </w:r>
    </w:p>
    <w:p>
      <w:r>
        <w:t>Regeste Eine statutarische Bestimmung, wonach beim Aufenthalt in einer Trinkerheilanstalt (Art. 23 Abs. 2 Vo III) die Zahlung eines auf das gesetzliche Minimum gekürzten Taggeldes vorgesehen wird, verletzt Art. 3 Abs. 3 KUVG. Vorbehalten bleibt im Einzelfall die Kürzung wegen Selbstverschuldens.</w:t>
      </w:r>
    </w:p>
    <w:p>
      <w:pPr>
        <w:pStyle w:val="Heading2"/>
      </w:pPr>
      <w:r>
        <w:t>Erwägungen</w:t>
      </w:r>
    </w:p>
    <w:p>
      <w:r>
        <w:rPr>
          <w:b/>
        </w:rPr>
        <w:t>E. 1</w:t>
      </w:r>
    </w:p>
    <w:p>
      <w:r>
        <w:t>Es ist streitig, ob die Beschwerdegegnerin berechtigt war, dem Versicherten für die Dauer seiner Alkoholentwöhnungskur in der Heilstätte E. anstelle des versicherten Taggeldes von 80% des Lohnes lediglich das durch Art. 12bis Abs. 1 KUVG vorgeschriebene minimale Krankengeld von täglich Fr. 2.-- zu gewähren. Die Kasse stützt sich auf Art. 19 der allgemeinen Versicherungsbedingungen ihrer Kollektiv-Krankenversicherung, der wie folgt lautet: "Hält sich ein Versicherter auf Anordnung des Arztes in einer Anstalt oder besondern Abteilung einer Anstalt auf, in denen ausschliesslich BGE 101 V 77 S. 79 Entwöhnungskuren für Trunksüchtige unter ärztlicher Leitung durchgeführt werden, so gewährt die OSKA ein tägliches Krankengeld von Fr. 2.--." a) Das Eidg. Versicherungsgericht hat in dem sowohl vom Beschwerdeführer als auch von der Kasse mehrfach zitierten Urteil i.S. Kübler klar dargelegt, dass Trunksucht an sich schon prinzipiell als Krankheit gilt und nicht erst dann, wenn sie Symptom oder Ursache einer andern Erkrankung ist (EVGE 1969 S. 12). Es kann auf jene Ausführungen verwiesen werden. Daraus, dass die Trunksucht eine Krankheit ist, ergibt sich entgegen der Auffassung der Kasse, dass sich der Beschwerdeführer wegen einer eigentlichen Krankheit in der Anstalt E. aufhält. b) Schon allein vom Zweck des Gesetzes her, der in der Förderung einer sozial gerechten Versicherung besteht, sind die Kassen im Bereich der über das gesetzliche Minimum hinausgehenden, statutarisch vorgesehenen Leistungen nicht absolut frei. Diesem Zweckgedanken widerspräche eine statutarische Bestimmung, wonach der Versicherungsschutz in dem Umfang, als er nicht durch das Gesetz verpflichtend vorgeschrieben ist, bei bestimmten Krankheiten einfach wegfällt. Eine solche Bestimmung würde aber auch direkt dem in Art. 3 Abs. 3 KUVG ausdrücklich verankerten Grundsatz der Gegenseitigkeit zuwiderlaufen. Dieses Prinzip beherrscht den Betrieb der Krankenkassen auch hinsichtlich jener Geldleistungen, die sie statutarisch über die zwingenden gesetzlichen Voraussetzungen und Ansätze hinaus gewähren ( BGE 98 V 84 ). Es schliesst aus, dass eine Kasse ohne ausdrückliche gesetzliche Ermächtigung ihre Leistungen nach verschiedenen Arten von Krankheiten differenziert. Sonst könnten es die Kassen zum vorneherein ablehnen, für Krankheiten, die erfahrungsgemäss eine länger dauernde Arbeitsunfähigkeit zur Folge haben, wie beispielsweise Geisteskrankheiten und Krebs, ein höheres Taggeld als das gesetzliche Minimum von Fr. 2.-- zu gewähren. c) Die von der Kasse postulierte Lösung würde auch anderweitig zu krassen Ungleichheiten in der rechtlichen Behandlung der Versicherten führen, indem derjenige Versicherte, der sich zur Entwöhnungskur in einer Trinkerheilanstalt aufhält, nur das Minimalkrankengeld bekäme, währenddem jenem Alkoholkranken, welcher sich der gleichen Entwöhnungskur BGE 101 V 77 S. 80 in einer psychiatrischen Heilanstalt unterzieht, das volle versicherte Krankengeld ausbezahlt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